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C1" w:rsidRPr="00F81CB8" w:rsidRDefault="00E36FAA" w:rsidP="003E5D5E">
      <w:pPr>
        <w:autoSpaceDE w:val="0"/>
        <w:autoSpaceDN w:val="0"/>
        <w:adjustRightInd w:val="0"/>
        <w:spacing w:after="0" w:line="276" w:lineRule="auto"/>
        <w:jc w:val="center"/>
        <w:rPr>
          <w:rFonts w:ascii="Trebuchet MS" w:hAnsi="Trebuchet MS" w:cs="Trebuchet MS"/>
          <w:b/>
          <w:bCs/>
          <w:u w:val="single"/>
          <w:lang w:val="ro-MO"/>
        </w:rPr>
      </w:pPr>
      <w:r w:rsidRPr="00F81CB8">
        <w:rPr>
          <w:rFonts w:ascii="Trebuchet MS" w:hAnsi="Trebuchet MS" w:cs="Trebuchet MS"/>
          <w:b/>
          <w:bCs/>
          <w:u w:val="single"/>
          <w:lang w:val="ro-MO"/>
        </w:rPr>
        <w:t>FIŞĂ</w:t>
      </w:r>
      <w:r w:rsidR="001219C1" w:rsidRPr="00F81CB8">
        <w:rPr>
          <w:rFonts w:ascii="Trebuchet MS" w:hAnsi="Trebuchet MS" w:cs="Trebuchet MS"/>
          <w:b/>
          <w:bCs/>
          <w:u w:val="single"/>
          <w:lang w:val="ro-MO"/>
        </w:rPr>
        <w:t xml:space="preserve"> MĂSURĂ</w:t>
      </w:r>
    </w:p>
    <w:p w:rsidR="00F0658E" w:rsidRPr="00F81CB8" w:rsidRDefault="00F0658E" w:rsidP="00F0658E">
      <w:pPr>
        <w:autoSpaceDE w:val="0"/>
        <w:autoSpaceDN w:val="0"/>
        <w:adjustRightInd w:val="0"/>
        <w:spacing w:after="0" w:line="23" w:lineRule="atLeast"/>
        <w:jc w:val="center"/>
        <w:rPr>
          <w:rFonts w:ascii="Trebuchet MS" w:hAnsi="Trebuchet MS" w:cs="Trebuchet MS"/>
          <w:b/>
          <w:bCs/>
          <w:lang w:val="ro-MO"/>
        </w:rPr>
      </w:pPr>
      <w:r w:rsidRPr="00F81CB8">
        <w:rPr>
          <w:rFonts w:ascii="Trebuchet MS" w:hAnsi="Trebuchet MS" w:cs="Trebuchet MS"/>
          <w:b/>
          <w:bCs/>
          <w:lang w:val="ro-MO"/>
        </w:rPr>
        <w:t>M8/ DI 6B – Investiţii în infrastructura socială  de bază</w:t>
      </w:r>
    </w:p>
    <w:p w:rsidR="00F0658E" w:rsidRPr="00F81CB8" w:rsidRDefault="00F0658E" w:rsidP="00F0658E">
      <w:pPr>
        <w:autoSpaceDE w:val="0"/>
        <w:autoSpaceDN w:val="0"/>
        <w:adjustRightInd w:val="0"/>
        <w:spacing w:after="0" w:line="23" w:lineRule="atLeast"/>
        <w:jc w:val="both"/>
        <w:rPr>
          <w:rFonts w:ascii="Trebuchet MS" w:hAnsi="Trebuchet MS" w:cs="Trebuchet MS"/>
          <w:b/>
          <w:bCs/>
          <w:u w:val="single"/>
          <w:lang w:val="ro-MO"/>
        </w:rPr>
      </w:pPr>
    </w:p>
    <w:tbl>
      <w:tblPr>
        <w:tblW w:w="0" w:type="auto"/>
        <w:tblInd w:w="105" w:type="dxa"/>
        <w:tblLayout w:type="fixed"/>
        <w:tblCellMar>
          <w:left w:w="105" w:type="dxa"/>
          <w:right w:w="105" w:type="dxa"/>
        </w:tblCellMar>
        <w:tblLook w:val="0000"/>
      </w:tblPr>
      <w:tblGrid>
        <w:gridCol w:w="2287"/>
        <w:gridCol w:w="6785"/>
      </w:tblGrid>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Denumirea măsurii</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Investiţii în infrastructura socială  de bază</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Codul măsurii</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M8/ DI 6B – Încurajarea dezvoltării locale în zonele rurale</w:t>
            </w:r>
          </w:p>
        </w:tc>
      </w:tr>
      <w:tr w:rsidR="00F0658E" w:rsidRPr="00F81CB8" w:rsidTr="00F0658E">
        <w:trPr>
          <w:trHeight w:val="465"/>
        </w:trPr>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Tipul măsurii</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INVESTIȚII</w:t>
            </w:r>
          </w:p>
        </w:tc>
      </w:tr>
      <w:tr w:rsidR="00F0658E" w:rsidRPr="00F81CB8" w:rsidTr="00F0658E">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1.Descrierea generală a măsurii, inclusiv a logicii de intervenţie a acesteia şi a  contribuţiei  la priorităţile strategiei, la domeniile de intervenţie, la obiectivele transversale şi a complementarităţii cu alte măsuri</w:t>
            </w:r>
          </w:p>
        </w:tc>
      </w:tr>
      <w:tr w:rsidR="00F0658E" w:rsidRPr="00F81CB8" w:rsidTr="00F0658E">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1.1 Scurtă justificare şi corelare cu analiza SWOT a alegerii măsurii propuse în cadrul SDL</w:t>
            </w:r>
          </w:p>
        </w:tc>
      </w:tr>
      <w:tr w:rsidR="00F0658E" w:rsidRPr="00F81CB8" w:rsidTr="00F0658E">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shd w:val="clear" w:color="auto" w:fill="FFFFFF"/>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Din analizele efectuate la nivelul teritoriului (Analiza Diagnostic şi Analiza SWOT) rezultă în mod evident că starea infrastructurii sociale la nivelul teritoriului necesită îmbunătăţiri pentru  diminuarea discrepanţelor existente între mediul urban şi rural şi totodată pentru crearea precondiţiilor necesare unei dezvoltări economice a teritoriului. Dezvoltarea economică şi socială este legată direct de îmbunătăţirea infrastructurii existente şi a </w:t>
            </w:r>
            <w:r w:rsidR="00683ED7" w:rsidRPr="00F81CB8">
              <w:rPr>
                <w:rFonts w:ascii="Trebuchet MS" w:hAnsi="Trebuchet MS" w:cs="Trebuchet MS"/>
                <w:lang w:val="ro-MO"/>
              </w:rPr>
              <w:t>serviciilor pentru populaţie. Zo</w:t>
            </w:r>
            <w:r w:rsidRPr="00F81CB8">
              <w:rPr>
                <w:rFonts w:ascii="Trebuchet MS" w:hAnsi="Trebuchet MS" w:cs="Trebuchet MS"/>
                <w:lang w:val="ro-MO"/>
              </w:rPr>
              <w:t>na acoperită de GAL necesită atragerea de investiţii, asigurând totodată şi furnizarea unor condiţii de viaţă adecvate şi servicii sociale necesare comunităţii.</w:t>
            </w:r>
          </w:p>
          <w:p w:rsidR="00F0658E" w:rsidRPr="00F81CB8" w:rsidRDefault="00F0658E" w:rsidP="002305E0">
            <w:pPr>
              <w:shd w:val="clear" w:color="auto" w:fill="FFFFFF"/>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La nivelul teritoriului, din evaluarea infrastructurii de bază şi a serviciilor pentru populaţie,  tragem concluzia că structurile  care  oferă servicii sociale pentru populaţie sunt foarte slab dezvoltate, aproape inexistente, în consecinţă nu au capacitatea de a susţine un nivel decent de trai pentru  populaţie. Întâlnim un deficit major în ceea ce priveşte posibilităţile oferite îngrijirii copiilor antepreşcolari, şcolari (privind activităţi educaţionale în afara curiculei şcolare şi activităţi recreaţionale), bătrâni, persoane cu nevoi speciale, etc. </w:t>
            </w:r>
          </w:p>
          <w:p w:rsidR="00F0658E" w:rsidRPr="00F81CB8" w:rsidRDefault="00F0658E" w:rsidP="002305E0">
            <w:pPr>
              <w:shd w:val="clear" w:color="auto" w:fill="FFFFFF"/>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Măsura aleasă asigură îndeplinirea  tuturor acestor nevoi identificate la nivelul teritoriului şi contribuie  la priorităţile strategiei, la domeniile de intervenţie, la obiectivele transversale (promovarea acţiunilor de producere şi furnizare de energie din surse regenerabile şi al economisirii energiei) şi nu în ultimul rând este  complementară cu alte măsuri din cadrul SDL.</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 Şi 1.2. Obiectiv(e)  de dezvoltare rurală al(e) Reg. (UE) 1305/2013, art.4, la care contribuie</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tabs>
                <w:tab w:val="left" w:pos="225"/>
              </w:tabs>
              <w:autoSpaceDE w:val="0"/>
              <w:autoSpaceDN w:val="0"/>
              <w:adjustRightInd w:val="0"/>
              <w:spacing w:after="0" w:line="23" w:lineRule="atLeast"/>
              <w:ind w:left="45"/>
              <w:jc w:val="both"/>
              <w:rPr>
                <w:rFonts w:ascii="Trebuchet MS" w:hAnsi="Trebuchet MS" w:cs="Trebuchet MS"/>
                <w:lang w:val="ro-MO"/>
              </w:rPr>
            </w:pPr>
            <w:r w:rsidRPr="00F81CB8">
              <w:rPr>
                <w:rFonts w:ascii="Trebuchet MS" w:hAnsi="Trebuchet MS" w:cs="Trebuchet MS"/>
                <w:lang w:val="ro-MO"/>
              </w:rPr>
              <w:t>(c) obținerea unei dezvoltări teritoriale echilibrate a economiilor și comunităților rurale, inclusiv crearea și menținerea de locuri de muncă.</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1.3.Obiectiv(e)  specific(e)/local(e) ale măsurii</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tabs>
                <w:tab w:val="left" w:pos="225"/>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Îmbunătăţirea  accesului la serviciile sociale de bază pentru populaţie</w:t>
            </w:r>
          </w:p>
        </w:tc>
      </w:tr>
      <w:tr w:rsidR="00F0658E" w:rsidRPr="00F81CB8" w:rsidTr="00F0658E">
        <w:trPr>
          <w:trHeight w:val="75"/>
        </w:trPr>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1.4. Măsura contribuie la prioritatea/priorităţile prevăzute la art.5, Reg. (UE) nr. 1305/2013 (se completează cu prioritatea/priorităţile din SDL)</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tabs>
                <w:tab w:val="left" w:pos="225"/>
              </w:tabs>
              <w:autoSpaceDE w:val="0"/>
              <w:autoSpaceDN w:val="0"/>
              <w:adjustRightInd w:val="0"/>
              <w:spacing w:after="0" w:line="23" w:lineRule="atLeast"/>
              <w:ind w:left="45"/>
              <w:jc w:val="both"/>
              <w:rPr>
                <w:rFonts w:ascii="Trebuchet MS" w:hAnsi="Trebuchet MS" w:cs="Trebuchet MS"/>
                <w:lang w:val="ro-MO"/>
              </w:rPr>
            </w:pPr>
          </w:p>
          <w:p w:rsidR="00F0658E" w:rsidRPr="00F81CB8" w:rsidRDefault="00F0658E" w:rsidP="002305E0">
            <w:pPr>
              <w:tabs>
                <w:tab w:val="left" w:pos="225"/>
              </w:tabs>
              <w:autoSpaceDE w:val="0"/>
              <w:autoSpaceDN w:val="0"/>
              <w:adjustRightInd w:val="0"/>
              <w:spacing w:after="0" w:line="23" w:lineRule="atLeast"/>
              <w:ind w:left="45"/>
              <w:jc w:val="both"/>
              <w:rPr>
                <w:rFonts w:ascii="Trebuchet MS" w:hAnsi="Trebuchet MS" w:cs="Trebuchet MS"/>
                <w:lang w:val="ro-MO"/>
              </w:rPr>
            </w:pPr>
          </w:p>
          <w:p w:rsidR="00F0658E" w:rsidRPr="00F81CB8" w:rsidRDefault="00F0658E" w:rsidP="002305E0">
            <w:pPr>
              <w:tabs>
                <w:tab w:val="left" w:pos="225"/>
              </w:tabs>
              <w:autoSpaceDE w:val="0"/>
              <w:autoSpaceDN w:val="0"/>
              <w:adjustRightInd w:val="0"/>
              <w:spacing w:after="0" w:line="23" w:lineRule="atLeast"/>
              <w:ind w:left="45"/>
              <w:jc w:val="both"/>
              <w:rPr>
                <w:rFonts w:ascii="Trebuchet MS" w:hAnsi="Trebuchet MS" w:cs="Trebuchet MS"/>
                <w:lang w:val="ro-MO"/>
              </w:rPr>
            </w:pPr>
            <w:r w:rsidRPr="00F81CB8">
              <w:rPr>
                <w:rFonts w:ascii="Trebuchet MS" w:hAnsi="Trebuchet MS" w:cs="Trebuchet MS"/>
                <w:lang w:val="ro-MO"/>
              </w:rPr>
              <w:t>P6 Promovarea incluziunii sociale, a reducerii sărăciei și a dezvoltării economice în zonele rurale</w:t>
            </w:r>
          </w:p>
          <w:p w:rsidR="00F0658E" w:rsidRPr="00F81CB8" w:rsidRDefault="00F0658E" w:rsidP="002305E0">
            <w:pPr>
              <w:tabs>
                <w:tab w:val="left" w:pos="225"/>
              </w:tabs>
              <w:autoSpaceDE w:val="0"/>
              <w:autoSpaceDN w:val="0"/>
              <w:adjustRightInd w:val="0"/>
              <w:spacing w:after="0" w:line="23" w:lineRule="atLeast"/>
              <w:ind w:left="45"/>
              <w:jc w:val="both"/>
              <w:rPr>
                <w:rFonts w:ascii="Trebuchet MS" w:hAnsi="Trebuchet MS" w:cs="Trebuchet MS"/>
                <w:lang w:val="ro-MO"/>
              </w:rPr>
            </w:pPr>
          </w:p>
          <w:p w:rsidR="00F0658E" w:rsidRPr="00F81CB8" w:rsidRDefault="00F0658E" w:rsidP="002305E0">
            <w:pPr>
              <w:tabs>
                <w:tab w:val="left" w:pos="225"/>
              </w:tabs>
              <w:autoSpaceDE w:val="0"/>
              <w:autoSpaceDN w:val="0"/>
              <w:adjustRightInd w:val="0"/>
              <w:spacing w:after="0" w:line="23" w:lineRule="atLeast"/>
              <w:ind w:left="45"/>
              <w:jc w:val="both"/>
              <w:rPr>
                <w:rFonts w:ascii="Trebuchet MS" w:hAnsi="Trebuchet MS" w:cs="Trebuchet MS"/>
                <w:lang w:val="ro-MO"/>
              </w:rPr>
            </w:pP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t xml:space="preserve">1.5. Măsura corespunde obiectivelor art.___ din Reg. (UE) nr. 1305/2014  </w:t>
            </w: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lastRenderedPageBreak/>
              <w:t xml:space="preserve">(pentru măsurile care pot </w:t>
            </w: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t xml:space="preserve">fi asimilate unui articol </w:t>
            </w: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t xml:space="preserve">din Titlul III:Sprijinul </w:t>
            </w: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t xml:space="preserve">pentru dezvoltarea rurală </w:t>
            </w: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t>al Reg. (UE) nr. 1305/2013</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p>
          <w:p w:rsidR="00F0658E" w:rsidRPr="00F81CB8" w:rsidRDefault="00F0658E" w:rsidP="002305E0">
            <w:pPr>
              <w:autoSpaceDE w:val="0"/>
              <w:autoSpaceDN w:val="0"/>
              <w:adjustRightInd w:val="0"/>
              <w:spacing w:after="0" w:line="23" w:lineRule="atLeast"/>
              <w:ind w:firstLine="37"/>
              <w:jc w:val="both"/>
              <w:rPr>
                <w:rFonts w:ascii="Trebuchet MS" w:hAnsi="Trebuchet MS" w:cs="Trebuchet MS"/>
                <w:lang w:val="ro-MO"/>
              </w:rPr>
            </w:pPr>
            <w:r w:rsidRPr="00F81CB8">
              <w:rPr>
                <w:rFonts w:ascii="Trebuchet MS" w:hAnsi="Trebuchet MS" w:cs="Trebuchet MS"/>
                <w:lang w:val="ro-MO"/>
              </w:rPr>
              <w:t xml:space="preserve">Măsura corespunde obiectivelor art.20 din Reg. (UE) nr. 1305/2014  </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ind w:left="37"/>
              <w:jc w:val="both"/>
              <w:rPr>
                <w:rFonts w:ascii="Trebuchet MS" w:hAnsi="Trebuchet MS" w:cs="Trebuchet MS"/>
                <w:lang w:val="ro-MO"/>
              </w:rPr>
            </w:pPr>
            <w:r w:rsidRPr="00F81CB8">
              <w:rPr>
                <w:rFonts w:ascii="Trebuchet MS" w:hAnsi="Trebuchet MS" w:cs="Trebuchet MS"/>
                <w:lang w:val="ro-MO"/>
              </w:rPr>
              <w:lastRenderedPageBreak/>
              <w:t xml:space="preserve">1.6.Măsura contribuie la </w:t>
            </w:r>
          </w:p>
          <w:p w:rsidR="00F0658E" w:rsidRPr="00F81CB8" w:rsidRDefault="00F0658E" w:rsidP="002305E0">
            <w:pPr>
              <w:autoSpaceDE w:val="0"/>
              <w:autoSpaceDN w:val="0"/>
              <w:adjustRightInd w:val="0"/>
              <w:spacing w:after="0" w:line="23" w:lineRule="atLeast"/>
              <w:ind w:left="37"/>
              <w:jc w:val="both"/>
              <w:rPr>
                <w:rFonts w:ascii="Trebuchet MS" w:hAnsi="Trebuchet MS" w:cs="Trebuchet MS"/>
                <w:lang w:val="ro-MO"/>
              </w:rPr>
            </w:pPr>
            <w:r w:rsidRPr="00F81CB8">
              <w:rPr>
                <w:rFonts w:ascii="Trebuchet MS" w:hAnsi="Trebuchet MS" w:cs="Trebuchet MS"/>
                <w:lang w:val="ro-MO"/>
              </w:rPr>
              <w:t xml:space="preserve">Domeniul de Intervenţie___(se </w:t>
            </w:r>
          </w:p>
          <w:p w:rsidR="00F0658E" w:rsidRPr="00F81CB8" w:rsidRDefault="00F0658E" w:rsidP="002305E0">
            <w:pPr>
              <w:autoSpaceDE w:val="0"/>
              <w:autoSpaceDN w:val="0"/>
              <w:adjustRightInd w:val="0"/>
              <w:spacing w:after="0" w:line="23" w:lineRule="atLeast"/>
              <w:ind w:left="37"/>
              <w:jc w:val="both"/>
              <w:rPr>
                <w:rFonts w:ascii="Trebuchet MS" w:hAnsi="Trebuchet MS" w:cs="Trebuchet MS"/>
                <w:lang w:val="ro-MO"/>
              </w:rPr>
            </w:pPr>
            <w:r w:rsidRPr="00F81CB8">
              <w:rPr>
                <w:rFonts w:ascii="Trebuchet MS" w:hAnsi="Trebuchet MS" w:cs="Trebuchet MS"/>
                <w:lang w:val="ro-MO"/>
              </w:rPr>
              <w:t xml:space="preserve">menţionează domeniul principal de intervenţie al </w:t>
            </w:r>
          </w:p>
          <w:p w:rsidR="00F0658E" w:rsidRPr="00F81CB8" w:rsidRDefault="00F0658E" w:rsidP="002305E0">
            <w:pPr>
              <w:autoSpaceDE w:val="0"/>
              <w:autoSpaceDN w:val="0"/>
              <w:adjustRightInd w:val="0"/>
              <w:spacing w:after="0" w:line="23" w:lineRule="atLeast"/>
              <w:ind w:left="37"/>
              <w:jc w:val="both"/>
              <w:rPr>
                <w:rFonts w:ascii="Trebuchet MS" w:hAnsi="Trebuchet MS" w:cs="Trebuchet MS"/>
                <w:lang w:val="ro-MO"/>
              </w:rPr>
            </w:pPr>
            <w:r w:rsidRPr="00F81CB8">
              <w:rPr>
                <w:rFonts w:ascii="Trebuchet MS" w:hAnsi="Trebuchet MS" w:cs="Trebuchet MS"/>
                <w:lang w:val="ro-MO"/>
              </w:rPr>
              <w:t>măsurii, unul dintre cele prevăzute la art.5, Reg. (UE) 1305/2013)</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DI 6B Încurajarea dezvoltării locale în zonele rurale;</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1"/>
                <w:numId w:val="28"/>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Măsura contribuie la </w:t>
            </w:r>
          </w:p>
          <w:p w:rsidR="00F0658E" w:rsidRPr="00F81CB8" w:rsidRDefault="00F0658E" w:rsidP="002305E0">
            <w:pPr>
              <w:tabs>
                <w:tab w:val="left" w:pos="51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obiectivele transversale ale Reg.  (UE) nr. 1305/2013:____(se menţionează  unul sau mai multe dintre obiectivele transversale legate de inovare, de protecţia mediului şi de atenuarea schimbărilor climatice şi de adaptare la acestea, în conformitate cu art.5, Reg. (UE) nr. 1305/2013</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 contribuţia la P6 prevăzută la art.5, Reg. (UE) nr. 1305/2013 măsură contribuie la realizarea obiectivelor transversale legate de inovare, de protecția mediului și de atenuarea schimbărilor climatice și de adaptarea la acestea</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1"/>
                <w:numId w:val="28"/>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Complementaritate cu alte măsuri din SDL</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Măsura este complementară cu: </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M6/DI6B – din punct de vedere al beneficiarilor direcţi (UAT-uri şi asociaţiile acestora);</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M7/DI6B –din punct de vedere al beneficiarilor direcţi (UAT-uri şi asociaţiile acestora);</w:t>
            </w:r>
          </w:p>
        </w:tc>
      </w:tr>
      <w:tr w:rsidR="00F0658E" w:rsidRPr="00F81CB8" w:rsidTr="00F0658E">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1"/>
                <w:numId w:val="28"/>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Sinergia cu alte măsuri din SDL</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Măsura contribuie împreună cu M6/DI6B, cu măsura M7/DI6B, cu măsura M5/DI6A la aceeaşi prioritate P6 şi contribuie împreună la promovarea incluziunii sociale, a reducerii sărăciei și a dezvoltării economice în zonele rurale</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Valoarea adăugată a măsurii, mai exact modalitatea în care prin această măsură va finanţa proiecte care aduc plus-valoare teritoriului/comunităţii locale şi relevanţa măsurii în cadrul SDL</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i/>
                <w:iCs/>
                <w:lang w:val="ro-MO"/>
              </w:rPr>
            </w:pPr>
            <w:r w:rsidRPr="00F81CB8">
              <w:rPr>
                <w:rFonts w:ascii="Trebuchet MS" w:hAnsi="Trebuchet MS" w:cs="Trebuchet MS"/>
                <w:lang w:val="ro-MO"/>
              </w:rPr>
              <w:t>Măsura “</w:t>
            </w:r>
            <w:r w:rsidRPr="00F81CB8">
              <w:rPr>
                <w:rFonts w:ascii="Trebuchet MS" w:hAnsi="Trebuchet MS" w:cs="Trebuchet MS"/>
                <w:i/>
                <w:iCs/>
                <w:lang w:val="ro-MO"/>
              </w:rPr>
              <w:t>Investiții în  infrastructura socială de bază</w:t>
            </w:r>
            <w:r w:rsidRPr="00F81CB8">
              <w:rPr>
                <w:rFonts w:ascii="Trebuchet MS" w:hAnsi="Trebuchet MS" w:cs="Trebuchet MS"/>
                <w:lang w:val="ro-MO"/>
              </w:rPr>
              <w:t xml:space="preserve">”  contribuie la rezolvarea problematicilor existente la nivelul teritoriului prin acţiuni specifice acestor nevoi, </w:t>
            </w:r>
            <w:r w:rsidRPr="00F81CB8">
              <w:rPr>
                <w:rFonts w:ascii="Trebuchet MS" w:hAnsi="Trebuchet MS" w:cs="Trebuchet MS"/>
                <w:lang w:val="ro-MO"/>
              </w:rPr>
              <w:lastRenderedPageBreak/>
              <w:t xml:space="preserve">realizând astfel valoarea adăugată a abordării LEADER. În cadrul acestei măsuri s-au identificat </w:t>
            </w:r>
            <w:r w:rsidRPr="00F81CB8">
              <w:rPr>
                <w:rFonts w:ascii="Trebuchet MS" w:hAnsi="Trebuchet MS" w:cs="Trebuchet MS"/>
                <w:b/>
                <w:bCs/>
                <w:lang w:val="ro-MO"/>
              </w:rPr>
              <w:t>soluţii inovatoare</w:t>
            </w:r>
            <w:r w:rsidRPr="00F81CB8">
              <w:rPr>
                <w:rFonts w:ascii="Trebuchet MS" w:hAnsi="Trebuchet MS" w:cs="Trebuchet MS"/>
                <w:lang w:val="ro-MO"/>
              </w:rPr>
              <w:t xml:space="preserve">  care sunt prioritare şi adecvate teritoriului nostru, respectiv promovarea investiţiilor privind infrastructura socială, promovarea eficienţei energetice şi promovarea energiei din surse regenerabile, etc. Includerea acestei măsuri în cadrul SDL conduce la creşterea interesului pentru dezvoltarea proiectelor inovatoare de utilitate publică şi/sau cu impact economic şi social. Criteriile de eligibilitate şi selecţie prevăzute în fişa măsurii se bazează pe evaluări documentare care demonstrează solitudinea şi corectitudinea deciziei în ceea ce priveşte criteriile coerente şi relevante. Astfel, parteneriatul a stabilit criterii de  eligibilitate corelate cu obiectivele măsurii,  una din condiţii fiind ca “</w:t>
            </w:r>
            <w:r w:rsidRPr="00F81CB8">
              <w:rPr>
                <w:rFonts w:ascii="Trebuchet MS" w:hAnsi="Trebuchet MS" w:cs="Trebuchet MS"/>
                <w:i/>
                <w:iCs/>
                <w:lang w:val="ro-MO"/>
              </w:rPr>
              <w:t xml:space="preserve">Investiţia aduce plus valoare teritoriului/comunităţii locale, respectiv aduce valoare adăugată prin caracterul inovativ şi/sau impactul economic, social şi natural”. </w:t>
            </w:r>
            <w:r w:rsidRPr="00F81CB8">
              <w:rPr>
                <w:rFonts w:ascii="Trebuchet MS" w:hAnsi="Trebuchet MS" w:cs="Trebuchet MS"/>
                <w:lang w:val="ro-MO"/>
              </w:rPr>
              <w:t>Au fost stabilite criteriile de selecţie adecvate specificului local, care sunt în conformitate cu obiectivele prevăzute în SDL, acordându-se prioritate proiectelor în funcţie de contribuţia adusă la atingerea indicatorilor din SDL (populaţia netă care beneficiază de servicii/infrastructuri îmbunătăţite, locuri de muncă create). Sunt prioritizate acele proiecte care aduc plus-valoare teritoriului comunităţii locale prin criteriile de selecţie privind prioritizarea  investiţiilor care identifică soluţii inovatoare (de ex: eficienţă energetică şi promovarea energiei din surse regenerabile, grupuri vulnerabile şi comunităţi dezavantajate, etc.), prioritizarea  investiţiilor care creează locuri de muncă prin proiect etc</w:t>
            </w:r>
            <w:r w:rsidRPr="00F81CB8">
              <w:rPr>
                <w:rFonts w:ascii="Trebuchet MS" w:hAnsi="Trebuchet MS" w:cs="Trebuchet MS"/>
                <w:i/>
                <w:iCs/>
                <w:lang w:val="ro-MO"/>
              </w:rPr>
              <w:t>.(A se vedea pct. 8 din Fişa măsurii).</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Un aspect ce ţine în mod direct de aducerea unei valori adăugate îl are impactul generat de aceasta la nivelul teritoriului, impact ce a fost evidenţiat inclusiv prin intermediul condiţiilor specifice de eligibilitate şi selecţie, dar mai ales prin abordarea integrată a nevoilor de dezvoltare locală şi asigurarea dezvoltării mai multor domenii identificate ca prioritare la nivel local.</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lastRenderedPageBreak/>
              <w:t>Trimiteri la alte acte legislative</w:t>
            </w:r>
          </w:p>
        </w:tc>
      </w:tr>
      <w:tr w:rsidR="00F0658E" w:rsidRPr="00F81CB8" w:rsidTr="00F0658E">
        <w:trPr>
          <w:trHeight w:val="1695"/>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b/>
                <w:bCs/>
                <w:i/>
                <w:iCs/>
                <w:lang w:val="ro-MO"/>
              </w:rPr>
            </w:pPr>
            <w:r w:rsidRPr="00F81CB8">
              <w:rPr>
                <w:rFonts w:ascii="Trebuchet MS" w:hAnsi="Trebuchet MS" w:cs="Trebuchet MS"/>
                <w:b/>
                <w:bCs/>
                <w:i/>
                <w:iCs/>
                <w:lang w:val="ro-MO"/>
              </w:rPr>
              <w:t>Temei juridic: Articolul 20 din Regulamentul (UE) nr. 1305/2013</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Art. 65 din Regulamentul (UE) nr. 1303/2013;</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Art. 69(3) din Regulamentul (UE) nr. 1303/2013;</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Art. 45 din Regulamentul (UE) nr. 1305/2013;</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Art.13 din Regulamentul (UE) nr. 1303/2013;</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Prevederile din Ghidul solicitantului;</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Prevederile din PNDR- cap.8.1 şi fişă tehnică a sub-măsurii 19.2;</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Prevederile aplicabile LEADER din Hotărârea Guvernului nr. 226 din 2 aprilie 2015.</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Beneficiari direcţi/indirecţi (grup ţintă)</w:t>
            </w:r>
          </w:p>
        </w:tc>
      </w:tr>
      <w:tr w:rsidR="00F0658E" w:rsidRPr="00F81CB8" w:rsidTr="00F0658E">
        <w:trPr>
          <w:trHeight w:val="390"/>
        </w:trPr>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ind w:left="420" w:hanging="420"/>
              <w:jc w:val="both"/>
              <w:rPr>
                <w:rFonts w:ascii="Trebuchet MS" w:hAnsi="Trebuchet MS" w:cs="Trebuchet MS"/>
                <w:lang w:val="ro-MO"/>
              </w:rPr>
            </w:pPr>
            <w:r w:rsidRPr="00F81CB8">
              <w:rPr>
                <w:rFonts w:ascii="Trebuchet MS" w:hAnsi="Trebuchet MS" w:cs="Trebuchet MS"/>
                <w:lang w:val="ro-MO"/>
              </w:rPr>
              <w:t>4.1. Beneficiari direcţi</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Unităţile administrativ teritoriale şi asociaţiile acestora conform legislaţiei naţionale în vigoare;</w:t>
            </w:r>
          </w:p>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Furnizorii de servicii sociale conform legislaţiei naţionale în vigoare;</w:t>
            </w:r>
          </w:p>
          <w:p w:rsidR="00F0658E" w:rsidRPr="00F81CB8" w:rsidRDefault="00F0658E" w:rsidP="00F0658E">
            <w:pPr>
              <w:numPr>
                <w:ilvl w:val="0"/>
                <w:numId w:val="31"/>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GAL-ul– doar in cazul in care niciun alt solicitant nu-si manifesta interesul;</w:t>
            </w:r>
          </w:p>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Parteneriate între entităţile mai sus menţionate.</w:t>
            </w:r>
          </w:p>
        </w:tc>
      </w:tr>
      <w:tr w:rsidR="00F0658E" w:rsidRPr="00F81CB8" w:rsidTr="00F0658E">
        <w:trPr>
          <w:trHeight w:val="390"/>
        </w:trPr>
        <w:tc>
          <w:tcPr>
            <w:tcW w:w="22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4.2. Beneficiarii indirecţi</w:t>
            </w:r>
          </w:p>
        </w:tc>
        <w:tc>
          <w:tcPr>
            <w:tcW w:w="67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Populaţia (comunitatea locală);</w:t>
            </w:r>
          </w:p>
          <w:p w:rsidR="00F0658E" w:rsidRPr="00F81CB8" w:rsidRDefault="00F0658E" w:rsidP="00F0658E">
            <w:pPr>
              <w:pStyle w:val="ListParagraph"/>
              <w:numPr>
                <w:ilvl w:val="0"/>
                <w:numId w:val="29"/>
              </w:numPr>
              <w:rPr>
                <w:rFonts w:ascii="Trebuchet MS" w:eastAsiaTheme="minorHAnsi" w:hAnsi="Trebuchet MS" w:cs="Trebuchet MS"/>
                <w:sz w:val="22"/>
                <w:szCs w:val="22"/>
                <w:lang w:val="ro-MO"/>
              </w:rPr>
            </w:pPr>
            <w:r w:rsidRPr="00F81CB8">
              <w:rPr>
                <w:rFonts w:ascii="Trebuchet MS" w:eastAsiaTheme="minorHAnsi" w:hAnsi="Trebuchet MS" w:cs="Trebuchet MS"/>
                <w:sz w:val="22"/>
                <w:szCs w:val="22"/>
                <w:lang w:val="ro-MO"/>
              </w:rPr>
              <w:t>Grupuri dezavantajate (femei, persoane în vârstă, etc.)</w:t>
            </w:r>
          </w:p>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Minorităţile locale (în special minoritatea romă);</w:t>
            </w:r>
          </w:p>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Societatea civilă;</w:t>
            </w:r>
          </w:p>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Entităţi private;</w:t>
            </w:r>
          </w:p>
          <w:p w:rsidR="00F0658E" w:rsidRPr="00F81CB8" w:rsidRDefault="00F0658E" w:rsidP="00F0658E">
            <w:pPr>
              <w:numPr>
                <w:ilvl w:val="0"/>
                <w:numId w:val="29"/>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Entităţi publice;</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Tip de sprijin (conform art. 67 din Reg. (UE) nr.1303/2013)</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4"/>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Rambursarea costurilor eligibile suportate şi plătite efectiv de solicitant. </w:t>
            </w:r>
          </w:p>
          <w:p w:rsidR="00F0658E" w:rsidRPr="00F81CB8" w:rsidRDefault="00F0658E" w:rsidP="00F0658E">
            <w:pPr>
              <w:numPr>
                <w:ilvl w:val="0"/>
                <w:numId w:val="24"/>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lastRenderedPageBreak/>
              <w:t>Plăţi în avans, cu condiţia constituirii unei garanţii echivalente corespunzătoare procentului de 100% din valoarea avansului, în conformitate cu art.45(4) şi art.63 ale Reg.(UE) nr. 1305/2013.</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lastRenderedPageBreak/>
              <w:t>Tipuri de acţiuni eligibile şi neeligibile</w:t>
            </w:r>
          </w:p>
        </w:tc>
      </w:tr>
      <w:tr w:rsidR="00F0658E" w:rsidRPr="00F81CB8" w:rsidTr="00F0658E">
        <w:trPr>
          <w:trHeight w:val="255"/>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spacing w:after="0" w:line="23" w:lineRule="atLeast"/>
              <w:jc w:val="both"/>
              <w:rPr>
                <w:rFonts w:ascii="Trebuchet MS" w:hAnsi="Trebuchet MS"/>
                <w:lang w:val="ro-MO"/>
              </w:rPr>
            </w:pPr>
            <w:r w:rsidRPr="00F81CB8">
              <w:rPr>
                <w:rFonts w:ascii="Trebuchet MS" w:hAnsi="Trebuchet MS" w:cs="Trebuchet MS"/>
                <w:b/>
                <w:bCs/>
                <w:lang w:val="ro-MO"/>
              </w:rPr>
              <w:t>Sunt eligibile</w:t>
            </w:r>
            <w:r w:rsidRPr="00F81CB8">
              <w:rPr>
                <w:rFonts w:ascii="Trebuchet MS" w:hAnsi="Trebuchet MS" w:cs="Trebuchet MS"/>
                <w:lang w:val="ro-MO"/>
              </w:rPr>
              <w:t xml:space="preserve"> toate tipurile de operaţiuni care sunt în concordanţă cu regulile generale din Regulamentele Europene, priorităţile stabilite pentru dezvoltarea locală- LEADER şi obiectivele şi priorităţile stabilite în Strategia de Dezvoltare Locală şi care presupun investiții în  infrastructura socială de bază şi îmbunătăţirea accesului la servicii pentru populaţie:</w:t>
            </w:r>
          </w:p>
          <w:p w:rsidR="00F0658E" w:rsidRPr="00F81CB8" w:rsidRDefault="00F0658E" w:rsidP="00F0658E">
            <w:pPr>
              <w:numPr>
                <w:ilvl w:val="0"/>
                <w:numId w:val="32"/>
              </w:numPr>
              <w:spacing w:after="0" w:line="23" w:lineRule="atLeast"/>
              <w:ind w:left="426"/>
              <w:jc w:val="both"/>
              <w:rPr>
                <w:rFonts w:ascii="Trebuchet MS" w:hAnsi="Trebuchet MS"/>
                <w:lang w:val="ro-MO"/>
              </w:rPr>
            </w:pPr>
            <w:r w:rsidRPr="00F81CB8">
              <w:rPr>
                <w:rFonts w:ascii="Trebuchet MS" w:hAnsi="Trebuchet MS"/>
                <w:lang w:val="ro-MO"/>
              </w:rPr>
              <w:t>Înfiinţare şi dotare centre de zi multiscop pentru consiliere familială, educare, formare profesionala, încurajarea antreprenoriatului etc. pentru minoritaţi, femei sau tineri;</w:t>
            </w:r>
          </w:p>
          <w:p w:rsidR="00F0658E" w:rsidRPr="00F81CB8" w:rsidRDefault="00F0658E" w:rsidP="00F0658E">
            <w:pPr>
              <w:numPr>
                <w:ilvl w:val="0"/>
                <w:numId w:val="32"/>
              </w:numPr>
              <w:spacing w:after="0" w:line="23" w:lineRule="atLeast"/>
              <w:ind w:left="426"/>
              <w:jc w:val="both"/>
              <w:rPr>
                <w:rFonts w:ascii="Trebuchet MS" w:hAnsi="Trebuchet MS"/>
                <w:lang w:val="ro-MO"/>
              </w:rPr>
            </w:pPr>
            <w:r w:rsidRPr="00F81CB8">
              <w:rPr>
                <w:rFonts w:ascii="Trebuchet MS" w:hAnsi="Trebuchet MS"/>
                <w:lang w:val="ro-MO"/>
              </w:rPr>
              <w:t>Înfiinţare şi dotare centre de permanenţă, precum şi centre multifuncţionale pentru asigurarea serviciilor de sănătate şi/sau sociale;</w:t>
            </w:r>
          </w:p>
          <w:p w:rsidR="00F0658E" w:rsidRPr="00F81CB8" w:rsidRDefault="00F0658E" w:rsidP="00F0658E">
            <w:pPr>
              <w:numPr>
                <w:ilvl w:val="0"/>
                <w:numId w:val="32"/>
              </w:numPr>
              <w:spacing w:after="0" w:line="23" w:lineRule="atLeast"/>
              <w:ind w:left="426"/>
              <w:jc w:val="both"/>
              <w:rPr>
                <w:rFonts w:ascii="Trebuchet MS" w:hAnsi="Trebuchet MS"/>
                <w:lang w:val="ro-MO"/>
              </w:rPr>
            </w:pPr>
            <w:r w:rsidRPr="00F81CB8">
              <w:rPr>
                <w:rFonts w:ascii="Trebuchet MS" w:hAnsi="Trebuchet MS"/>
                <w:lang w:val="ro-MO"/>
              </w:rPr>
              <w:t>Înființarea și modernizarea (inclusiv dotarea) grădinițelor, numai a celor din afara incintei școlilor din mediul rural;</w:t>
            </w:r>
          </w:p>
          <w:p w:rsidR="00F0658E" w:rsidRPr="00F81CB8" w:rsidRDefault="00F0658E" w:rsidP="00F0658E">
            <w:pPr>
              <w:numPr>
                <w:ilvl w:val="0"/>
                <w:numId w:val="32"/>
              </w:numPr>
              <w:spacing w:after="0" w:line="23" w:lineRule="atLeast"/>
              <w:ind w:left="426"/>
              <w:jc w:val="both"/>
              <w:rPr>
                <w:rFonts w:ascii="Trebuchet MS" w:hAnsi="Trebuchet MS"/>
                <w:lang w:val="ro-MO"/>
              </w:rPr>
            </w:pPr>
            <w:r w:rsidRPr="00F81CB8">
              <w:rPr>
                <w:rFonts w:ascii="Trebuchet MS" w:hAnsi="Trebuchet MS"/>
                <w:lang w:val="ro-MO"/>
              </w:rPr>
              <w:t>Înființarea și modernizarea (inclusiv dotarea) instituțiilor de învățământ secundar superior, filiera tehnologică cu profil resurse naturale și protecția mediului și a școlilor profesionale în domeniul agricol;</w:t>
            </w:r>
          </w:p>
          <w:p w:rsidR="00F0658E" w:rsidRPr="00F81CB8" w:rsidRDefault="00F0658E" w:rsidP="00F0658E">
            <w:pPr>
              <w:numPr>
                <w:ilvl w:val="0"/>
                <w:numId w:val="32"/>
              </w:numPr>
              <w:spacing w:after="0" w:line="23" w:lineRule="atLeast"/>
              <w:ind w:left="426"/>
              <w:jc w:val="both"/>
              <w:rPr>
                <w:rFonts w:ascii="Trebuchet MS" w:hAnsi="Trebuchet MS"/>
                <w:lang w:val="ro-MO"/>
              </w:rPr>
            </w:pPr>
            <w:r w:rsidRPr="00F81CB8">
              <w:rPr>
                <w:rFonts w:ascii="Trebuchet MS" w:hAnsi="Trebuchet MS"/>
                <w:lang w:val="ro-MO"/>
              </w:rPr>
              <w:t>Înfiinţarea și modernizarea (inclusiv dot</w:t>
            </w:r>
            <w:bookmarkStart w:id="0" w:name="_GoBack"/>
            <w:bookmarkEnd w:id="0"/>
            <w:r w:rsidRPr="00F81CB8">
              <w:rPr>
                <w:rFonts w:ascii="Trebuchet MS" w:hAnsi="Trebuchet MS"/>
                <w:lang w:val="ro-MO"/>
              </w:rPr>
              <w:t>area) centrelor de zi pentru copii orfani, bătrâni, persoane cu nevoi speciale etc.;</w:t>
            </w:r>
          </w:p>
          <w:p w:rsidR="00F0658E" w:rsidRPr="00F81CB8" w:rsidRDefault="00F0658E" w:rsidP="00706C65">
            <w:pPr>
              <w:numPr>
                <w:ilvl w:val="0"/>
                <w:numId w:val="32"/>
              </w:numPr>
              <w:spacing w:after="0" w:line="23" w:lineRule="atLeast"/>
              <w:ind w:left="426"/>
              <w:jc w:val="both"/>
              <w:rPr>
                <w:rFonts w:ascii="Trebuchet MS" w:hAnsi="Trebuchet MS" w:cs="Trebuchet MS"/>
                <w:lang w:val="ro-MO"/>
              </w:rPr>
            </w:pPr>
            <w:r w:rsidRPr="00F81CB8">
              <w:rPr>
                <w:rFonts w:ascii="Trebuchet MS" w:hAnsi="Trebuchet MS"/>
                <w:lang w:val="ro-MO"/>
              </w:rPr>
              <w:t>Înființarea și modernizarea (inclusiv dotarea) creșelor precum și a infrastructurii de tip after-school, numai a celor din afara incintei școlilor din mediul rural;</w:t>
            </w:r>
            <w:r w:rsidRPr="00F81CB8">
              <w:rPr>
                <w:rFonts w:ascii="Trebuchet MS" w:hAnsi="Trebuchet MS" w:cs="Trebuchet MS"/>
                <w:lang w:val="ro-MO"/>
              </w:rPr>
              <w:t>Înfiinţarea, reabilitarea şi modernizarea (inclusiv dotarea) infrastructurii aferente serviciilor sociale pentru populaţie definite conform legislaţiei naţionale în vigoare (centre şi cămine de îngrijire copii, bătrâni, persoane cu nevoi speciale, centre “respiro”, centre de consiliere psiho-socială, creşe, infrastructură de tip afterschool, etc</w:t>
            </w:r>
            <w:r w:rsidR="00CE0F53" w:rsidRPr="00F81CB8">
              <w:rPr>
                <w:rFonts w:ascii="Trebuchet MS" w:hAnsi="Trebuchet MS" w:cs="Trebuchet MS"/>
                <w:lang w:val="ro-MO"/>
              </w:rPr>
              <w:t xml:space="preserve"> ;</w:t>
            </w:r>
          </w:p>
          <w:p w:rsidR="00CE0F53" w:rsidRPr="00F81CB8" w:rsidRDefault="00CE0F53" w:rsidP="00706C65">
            <w:pPr>
              <w:numPr>
                <w:ilvl w:val="0"/>
                <w:numId w:val="32"/>
              </w:numPr>
              <w:spacing w:after="0" w:line="23" w:lineRule="atLeast"/>
              <w:ind w:left="426"/>
              <w:jc w:val="both"/>
              <w:rPr>
                <w:rFonts w:ascii="Trebuchet MS" w:hAnsi="Trebuchet MS"/>
                <w:lang w:val="ro-MO"/>
              </w:rPr>
            </w:pPr>
            <w:r w:rsidRPr="00F81CB8">
              <w:rPr>
                <w:rFonts w:ascii="Trebuchet MS" w:hAnsi="Trebuchet MS"/>
                <w:lang w:val="ro-MO"/>
              </w:rPr>
              <w:t>Înființarea și dotarea sau modernizare unități sociale cu cazare/gazduire pe perioadă temporară/determinate si servicile sociale aferente(de ex.: locuințe protejate, centre maternale, centre de primire in regim de urgentă a victimelor violenței domestic, etc.).</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Pentru asigurarea sustenabilităţii proiectelor depuse în cadrul măsurii de finanţare a infrastructurii sociale, beneficiarii pot solicita finanţare prin Axa 5 POCU, prin depunerea unui proiect distinct cu respectarea condiţiilor specifice POCU.</w:t>
            </w:r>
          </w:p>
          <w:p w:rsidR="00F0658E" w:rsidRPr="00F81CB8" w:rsidRDefault="00F0658E" w:rsidP="002305E0">
            <w:pPr>
              <w:autoSpaceDE w:val="0"/>
              <w:autoSpaceDN w:val="0"/>
              <w:adjustRightInd w:val="0"/>
              <w:spacing w:after="0" w:line="30" w:lineRule="atLeast"/>
              <w:jc w:val="both"/>
              <w:rPr>
                <w:rFonts w:ascii="Trebuchet MS" w:hAnsi="Trebuchet MS" w:cs="Trebuchet MS"/>
                <w:b/>
                <w:lang w:val="ro-MO"/>
              </w:rPr>
            </w:pPr>
            <w:r w:rsidRPr="00F81CB8">
              <w:rPr>
                <w:rFonts w:ascii="Trebuchet MS" w:hAnsi="Trebuchet MS" w:cs="Trebuchet MS"/>
                <w:b/>
                <w:lang w:val="ro-MO"/>
              </w:rPr>
              <w:t>Prin aceste proiecte nu pot fi finanțate infrastructuri de tip rezidențial.</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Tipuri de investitii si cheltuieli neeligibile: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Cheltuielile neeligibile generale sunt:</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cheltuielile cu achizitionarea de bunuri si echipamnete “second hand”;</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cheltuielile efectuate inainte de semnarea contractului de finantare a proiectului cu exceptia: costurilor generale definite la art 45, alin 2 litera c) a R (UE) nr. 1305/2013 care pot fi realizate inainte de depunerea cererii de finantare;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cheltuieli cu achizitia mijloacelor de transport pentru uz personal si pentru transport persoane;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cheltuieli cu investitiile care fac obiectul dublei finantari care vizeaza aceleasi costuri eligibile;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in cazul contractelor de leasing, celelalte costuri legate de contractele de leasing, cum ar fi marja locatorului, costurile de refinantare a dobanzilor, cheltuielile generale si cheltuielile de asigurare;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cheltuieli neeligibil in conformitate cu art. 69, alin (3) din R (UE) nr. 1303/2013 si anume: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a.) dobanzi debitoare, cu exceptia celor referitoare la granturi acordate sub forma unei subventii pentru dobanda sau a unei subventii pentru comisioanele de garantare;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lastRenderedPageBreak/>
              <w:t>b.) achizitionarea de terenuri neconstruite si de terenuri construite;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c.) taxa pe valoarea adaugata, cu exceptia cazului in care acestea nu se poate recupera in temeiul legislatiei nationale privind TVA-ul sau a prevederilor specifice pentru instrumente financiare;</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Lista investitiilor si costurilor neeligibile se completeaza cu prevederile Hotararii de Guvern nr. 226/2 aprilie 2015 privind stabilirea cadrului general de implementare a masurilor Programului National de Dezvoltare Rurala cofinantate din Fondul European Agricol pentru Dezvoltare Rurala si de la bugetul de stst pentru perioada 2014 – 2020.</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contributia in natura;</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costuri privind inchirierea de masini, utilaje, instalatii si echipamente;</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costuri operationale inclusiv costuri de intretinere si chirie;</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lastRenderedPageBreak/>
              <w:t xml:space="preserve"> Condiţii de eligibilitate </w:t>
            </w:r>
          </w:p>
          <w:p w:rsidR="00F0658E" w:rsidRPr="00F81CB8" w:rsidRDefault="00F0658E" w:rsidP="00F0658E">
            <w:pPr>
              <w:numPr>
                <w:ilvl w:val="0"/>
                <w:numId w:val="30"/>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Solicitantul trebuie să se încadreze în categoria beneficiarilor eligibili;</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Solicitantul trebuie să nu fie în insolventă sau incapacitate de plată;</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Investiţiile vor demonstra evitarea segregării;</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Proiectele trebuie să asigure funcţionarea prin operaţionalizarea infrastructurii de </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către o entitate acreditată ca furnizor de servicii sociale;</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Investiţia aduce plus valoare teritoriului/comunităţii locale, respectiv aduce valoare </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adăugată prin caracterul inovativ şi/sau impactul economic, social şi natural;</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Investiţia trebuie să se încadreze în cel puţin unul din tipurile de sprijin prevăzute </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 măsură;</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Investiţia să se realizeze pe teritoriul acoperit de GAL;</w:t>
            </w:r>
          </w:p>
          <w:p w:rsidR="00F0658E" w:rsidRPr="00F81CB8" w:rsidRDefault="00F0658E" w:rsidP="00F0658E">
            <w:pPr>
              <w:numPr>
                <w:ilvl w:val="0"/>
                <w:numId w:val="25"/>
              </w:num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Investiţia trebuie să fie în corelare cu orice strategie de dezvoltare </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naţională/regională/judeţeană/locală aprobată, corespunzătoare domeniului de </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investiţii;</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Totodată se vor respecta condiţiile generale de eligibilitate aplicabile tuturor măsurilor (conform Regulamentelor Europene, prevederilor din H.G. nr. 226/2015 şi  PNDR  2014-2020).</w:t>
            </w:r>
          </w:p>
          <w:p w:rsidR="00F0658E" w:rsidRPr="00F81CB8" w:rsidRDefault="00F0658E" w:rsidP="002305E0">
            <w:pPr>
              <w:tabs>
                <w:tab w:val="left" w:pos="270"/>
              </w:tabs>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Pentru asigurarea sustenabilităţii proiectelor depuse în cadrul măsurii de finanţare a infrastructurii sociale, beneficiarii pot solicita finanţare prin Axa 5 POCU, prin depunerea unui proiect distinct cu respectarea condiţiilor specifice POCU.</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Criterii de selecţie</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Principiul prioritizării investiţiilor care conţin acţiuni dedicate pentru integrarea minorităţilor locale;</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Principiul prioritizării investiţiilor care identifică soluţii inovatoare(de ex: eficienţă energetică şi promovarea energiei din surse regenerabile, grupuri vulnerabile şi comunităţi dezavantajate, etc.);</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Principiul prioritizării investiţiilor în funcţie de contribuţia la atingerea indicatorilor de monitorizare specifici domeniului de intervenţie (populaţie netă care beneficiază de servicii/infrastructuri îmbunătăţite);</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Principiul prioritizării investiţiilor care creează locuri de muncă prin proiect;</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Principiul prioritizarii investitiilor care se adreseaza beneficiarilor directi ai masurilor  M6/DI6B, M7/DI6B din cadrul SDL.</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Sume (aplicabile) şi rata sprijinului</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u w:val="single"/>
                <w:lang w:val="ro-MO"/>
              </w:rPr>
            </w:pPr>
            <w:r w:rsidRPr="00F81CB8">
              <w:rPr>
                <w:rFonts w:ascii="Trebuchet MS" w:hAnsi="Trebuchet MS" w:cs="Trebuchet MS"/>
                <w:u w:val="single"/>
                <w:lang w:val="ro-MO"/>
              </w:rPr>
              <w:t xml:space="preserve">Elementele care au contribuit la stabilirea cuantumului şi  intensităţii sprijinului: </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Măsura contribuie la prioritatea aflată pe primul loc ca ierarhie în cadrul SDL şi prin acţiunile eligibile demonstrează interesul colectiv, accesul public la rezultatele proiectului şi are caracteristici inovatoare la nivel local.</w:t>
            </w:r>
          </w:p>
          <w:p w:rsidR="00F0658E" w:rsidRPr="00F81CB8" w:rsidRDefault="00F0658E" w:rsidP="002305E0">
            <w:p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Sprijinul public nerambursabil acordat în cadrul acestei sub-măsuri va fi de:</w:t>
            </w:r>
          </w:p>
          <w:p w:rsidR="00F0658E" w:rsidRPr="00F81CB8" w:rsidRDefault="00F0658E" w:rsidP="00F0658E">
            <w:pPr>
              <w:numPr>
                <w:ilvl w:val="0"/>
                <w:numId w:val="27"/>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100% din totalul cheltuielilor eligibile pentru proiectele negeneratoare de venit aplicate de autorităţi publice locale şi Furnizorii de servicii sociale;</w:t>
            </w:r>
          </w:p>
          <w:p w:rsidR="00F0658E" w:rsidRPr="00F81CB8" w:rsidRDefault="00F0658E" w:rsidP="00F0658E">
            <w:pPr>
              <w:numPr>
                <w:ilvl w:val="0"/>
                <w:numId w:val="27"/>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100% din totalul cheltuielilor eligibile pentru proiectele generatoare de venit aplicate de autorităţi publice locale;</w:t>
            </w:r>
          </w:p>
          <w:p w:rsidR="00F0658E" w:rsidRPr="00F81CB8" w:rsidRDefault="00F0658E" w:rsidP="00F0658E">
            <w:pPr>
              <w:numPr>
                <w:ilvl w:val="0"/>
                <w:numId w:val="27"/>
              </w:num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lastRenderedPageBreak/>
              <w:t>90% din totalul cheltuielilor eligibile pentru proiectele generatoare de venit aplicate de furnizorii de servicii sociale.</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F0658E">
            <w:pPr>
              <w:numPr>
                <w:ilvl w:val="0"/>
                <w:numId w:val="28"/>
              </w:num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lastRenderedPageBreak/>
              <w:t>Indicatori de monitorizare</w:t>
            </w:r>
          </w:p>
        </w:tc>
      </w:tr>
      <w:tr w:rsidR="00F0658E" w:rsidRPr="00F81CB8" w:rsidTr="00F0658E">
        <w:trPr>
          <w:trHeight w:val="390"/>
        </w:trPr>
        <w:tc>
          <w:tcPr>
            <w:tcW w:w="9072"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F0658E" w:rsidRPr="00F81CB8" w:rsidRDefault="00F0658E" w:rsidP="002305E0">
            <w:p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bCs/>
                <w:lang w:val="ro-MO"/>
              </w:rPr>
              <w:t>Indicator specific domeniului de intervenţie 6B corespunzător măsurii :</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Populaţie netă care beneficiază de servicii/infrastructuri îmbunătăţite: </w:t>
            </w:r>
            <w:r w:rsidR="00437692" w:rsidRPr="00F81CB8">
              <w:rPr>
                <w:rFonts w:ascii="Trebuchet MS" w:hAnsi="Trebuchet MS" w:cs="Trebuchet MS"/>
                <w:lang w:val="ro-MO"/>
              </w:rPr>
              <w:t xml:space="preserve">30 </w:t>
            </w:r>
          </w:p>
          <w:p w:rsidR="00F0658E" w:rsidRPr="00F81CB8" w:rsidRDefault="00F0658E" w:rsidP="002305E0">
            <w:pPr>
              <w:autoSpaceDE w:val="0"/>
              <w:autoSpaceDN w:val="0"/>
              <w:adjustRightInd w:val="0"/>
              <w:spacing w:after="0" w:line="23" w:lineRule="atLeast"/>
              <w:jc w:val="both"/>
              <w:rPr>
                <w:rFonts w:ascii="Trebuchet MS" w:hAnsi="Trebuchet MS" w:cs="Trebuchet MS"/>
                <w:b/>
                <w:bCs/>
                <w:lang w:val="ro-MO"/>
              </w:rPr>
            </w:pPr>
            <w:r w:rsidRPr="00F81CB8">
              <w:rPr>
                <w:rFonts w:ascii="Trebuchet MS" w:hAnsi="Trebuchet MS" w:cs="Trebuchet MS"/>
                <w:b/>
                <w:lang w:val="ro-MO"/>
              </w:rPr>
              <w:t>I</w:t>
            </w:r>
            <w:r w:rsidRPr="00F81CB8">
              <w:rPr>
                <w:rFonts w:ascii="Trebuchet MS" w:hAnsi="Trebuchet MS" w:cs="Trebuchet MS"/>
                <w:b/>
                <w:bCs/>
                <w:lang w:val="ro-MO"/>
              </w:rPr>
              <w:t>ndicatorul specific LEADER 6A- crearea de locuri de muncă:</w:t>
            </w:r>
          </w:p>
          <w:p w:rsidR="00F0658E" w:rsidRPr="00F81CB8" w:rsidRDefault="00F0658E" w:rsidP="002305E0">
            <w:pPr>
              <w:autoSpaceDE w:val="0"/>
              <w:autoSpaceDN w:val="0"/>
              <w:adjustRightInd w:val="0"/>
              <w:spacing w:after="0" w:line="23" w:lineRule="atLeast"/>
              <w:jc w:val="both"/>
              <w:rPr>
                <w:rFonts w:ascii="Trebuchet MS" w:hAnsi="Trebuchet MS" w:cs="Trebuchet MS"/>
                <w:lang w:val="ro-MO"/>
              </w:rPr>
            </w:pPr>
            <w:r w:rsidRPr="00F81CB8">
              <w:rPr>
                <w:rFonts w:ascii="Trebuchet MS" w:hAnsi="Trebuchet MS" w:cs="Trebuchet MS"/>
                <w:lang w:val="ro-MO"/>
              </w:rPr>
              <w:t xml:space="preserve">Număr locuri de muncă nou create prin măsură: </w:t>
            </w:r>
            <w:r w:rsidR="001B3E90" w:rsidRPr="00F81CB8">
              <w:rPr>
                <w:rFonts w:ascii="Trebuchet MS" w:hAnsi="Trebuchet MS" w:cs="Trebuchet MS"/>
                <w:lang w:val="ro-MO"/>
              </w:rPr>
              <w:t>0</w:t>
            </w:r>
            <w:r w:rsidR="00437692" w:rsidRPr="00F81CB8">
              <w:rPr>
                <w:rFonts w:ascii="Trebuchet MS" w:hAnsi="Trebuchet MS" w:cs="Trebuchet MS"/>
                <w:lang w:val="ro-MO"/>
              </w:rPr>
              <w:t xml:space="preserve"> </w:t>
            </w:r>
          </w:p>
        </w:tc>
      </w:tr>
    </w:tbl>
    <w:p w:rsidR="00A968F2" w:rsidRPr="00F81CB8" w:rsidRDefault="00A968F2" w:rsidP="001219C1">
      <w:pPr>
        <w:rPr>
          <w:lang w:val="ro-MO"/>
        </w:rPr>
      </w:pPr>
    </w:p>
    <w:sectPr w:rsidR="00A968F2" w:rsidRPr="00F81CB8" w:rsidSect="00E36FAA">
      <w:pgSz w:w="11906" w:h="16838"/>
      <w:pgMar w:top="1440" w:right="1440" w:bottom="1440" w:left="1440" w:header="567" w:footer="567"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023F1"/>
    <w:multiLevelType w:val="multilevel"/>
    <w:tmpl w:val="A7587786"/>
    <w:lvl w:ilvl="0">
      <w:start w:val="1"/>
      <w:numFmt w:val="decimal"/>
      <w:lvlText w:val="%1."/>
      <w:lvlJc w:val="left"/>
      <w:pPr>
        <w:tabs>
          <w:tab w:val="num" w:pos="450"/>
        </w:tabs>
        <w:ind w:left="450" w:hanging="360"/>
      </w:pPr>
      <w:rPr>
        <w:rFonts w:ascii="Trebuchet MS" w:hAnsi="Trebuchet MS" w:cs="Times New Roman" w:hint="default"/>
        <w:b/>
        <w:bCs/>
        <w:sz w:val="22"/>
        <w:szCs w:val="22"/>
      </w:rPr>
    </w:lvl>
    <w:lvl w:ilvl="1">
      <w:start w:val="7"/>
      <w:numFmt w:val="decimal"/>
      <w:lvlText w:val="%1.%2."/>
      <w:lvlJc w:val="left"/>
      <w:pPr>
        <w:tabs>
          <w:tab w:val="num" w:pos="345"/>
        </w:tabs>
        <w:ind w:left="345" w:hanging="360"/>
      </w:pPr>
      <w:rPr>
        <w:rFonts w:ascii="Trebuchet MS" w:hAnsi="Trebuchet MS"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720"/>
        </w:tabs>
        <w:ind w:left="720" w:hanging="72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080"/>
        </w:tabs>
        <w:ind w:left="1080" w:hanging="108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440"/>
        </w:tabs>
        <w:ind w:left="1440" w:hanging="1440"/>
      </w:pPr>
      <w:rPr>
        <w:rFonts w:ascii="Times New Roman" w:hAnsi="Times New Roman" w:cs="Times New Roman"/>
        <w:sz w:val="24"/>
        <w:szCs w:val="24"/>
      </w:rPr>
    </w:lvl>
  </w:abstractNum>
  <w:abstractNum w:abstractNumId="1">
    <w:nsid w:val="00F43D13"/>
    <w:multiLevelType w:val="multilevel"/>
    <w:tmpl w:val="00F43D1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D311CF6"/>
    <w:multiLevelType w:val="multilevel"/>
    <w:tmpl w:val="413FA0FD"/>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
    <w:nsid w:val="1114C46C"/>
    <w:multiLevelType w:val="multilevel"/>
    <w:tmpl w:val="77DC2A7B"/>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4">
    <w:nsid w:val="12A66132"/>
    <w:multiLevelType w:val="multilevel"/>
    <w:tmpl w:val="7F72A509"/>
    <w:lvl w:ilvl="0">
      <w:numFmt w:val="bullet"/>
      <w:lvlText w:val="·"/>
      <w:lvlJc w:val="left"/>
      <w:pPr>
        <w:tabs>
          <w:tab w:val="num" w:pos="240"/>
        </w:tabs>
        <w:ind w:left="240" w:hanging="240"/>
      </w:pPr>
      <w:rPr>
        <w:rFonts w:ascii="Symbol" w:hAnsi="Symbol" w:cs="Symbol"/>
        <w:sz w:val="22"/>
        <w:szCs w:val="22"/>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5">
    <w:nsid w:val="183C9BE1"/>
    <w:multiLevelType w:val="multilevel"/>
    <w:tmpl w:val="02437B2C"/>
    <w:lvl w:ilvl="0">
      <w:numFmt w:val="bullet"/>
      <w:lvlText w:val="·"/>
      <w:lvlJc w:val="left"/>
      <w:pPr>
        <w:tabs>
          <w:tab w:val="num" w:pos="345"/>
        </w:tabs>
        <w:ind w:left="345"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18423708"/>
    <w:multiLevelType w:val="multilevel"/>
    <w:tmpl w:val="249B5167"/>
    <w:lvl w:ilvl="0">
      <w:numFmt w:val="bullet"/>
      <w:lvlText w:val="·"/>
      <w:lvlJc w:val="left"/>
      <w:pPr>
        <w:tabs>
          <w:tab w:val="num" w:pos="240"/>
        </w:tabs>
        <w:ind w:left="240" w:hanging="240"/>
      </w:pPr>
      <w:rPr>
        <w:rFonts w:ascii="Symbol" w:hAnsi="Symbol" w:cs="Symbol"/>
        <w:sz w:val="22"/>
        <w:szCs w:val="22"/>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7">
    <w:nsid w:val="1C2D26E1"/>
    <w:multiLevelType w:val="hybridMultilevel"/>
    <w:tmpl w:val="7146F316"/>
    <w:lvl w:ilvl="0" w:tplc="20A016C8">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DB84022"/>
    <w:multiLevelType w:val="hybridMultilevel"/>
    <w:tmpl w:val="F122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87735"/>
    <w:multiLevelType w:val="hybridMultilevel"/>
    <w:tmpl w:val="0B70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3776D"/>
    <w:multiLevelType w:val="multilevel"/>
    <w:tmpl w:val="75E92A48"/>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11">
    <w:nsid w:val="25FFF38B"/>
    <w:multiLevelType w:val="multilevel"/>
    <w:tmpl w:val="60AE3E4E"/>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2">
    <w:nsid w:val="2B6B5744"/>
    <w:multiLevelType w:val="multilevel"/>
    <w:tmpl w:val="2B6B57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34072413"/>
    <w:multiLevelType w:val="hybridMultilevel"/>
    <w:tmpl w:val="29BC6B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F4D0098"/>
    <w:multiLevelType w:val="multilevel"/>
    <w:tmpl w:val="3FF539B7"/>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5">
    <w:nsid w:val="40CBA4E6"/>
    <w:multiLevelType w:val="multilevel"/>
    <w:tmpl w:val="3993A4FA"/>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16">
    <w:nsid w:val="42340D7C"/>
    <w:multiLevelType w:val="hybridMultilevel"/>
    <w:tmpl w:val="E4146596"/>
    <w:lvl w:ilvl="0" w:tplc="9E96903C">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B90E4"/>
    <w:multiLevelType w:val="multilevel"/>
    <w:tmpl w:val="67C44F60"/>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8">
    <w:nsid w:val="468AE49A"/>
    <w:multiLevelType w:val="multilevel"/>
    <w:tmpl w:val="1213C81E"/>
    <w:lvl w:ilvl="0">
      <w:numFmt w:val="bullet"/>
      <w:lvlText w:val="·"/>
      <w:lvlJc w:val="left"/>
      <w:pPr>
        <w:tabs>
          <w:tab w:val="num" w:pos="345"/>
        </w:tabs>
        <w:ind w:left="345" w:hanging="360"/>
      </w:pPr>
      <w:rPr>
        <w:rFonts w:ascii="Symbol" w:hAnsi="Symbol" w:cs="Symbol"/>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9">
    <w:nsid w:val="49102E06"/>
    <w:multiLevelType w:val="hybridMultilevel"/>
    <w:tmpl w:val="23D6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63F01"/>
    <w:multiLevelType w:val="hybridMultilevel"/>
    <w:tmpl w:val="7D3AB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64710"/>
    <w:multiLevelType w:val="hybridMultilevel"/>
    <w:tmpl w:val="C56C47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D0328CA"/>
    <w:multiLevelType w:val="multilevel"/>
    <w:tmpl w:val="4D032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541A56A1"/>
    <w:multiLevelType w:val="multilevel"/>
    <w:tmpl w:val="2FEFAFB9"/>
    <w:lvl w:ilvl="0">
      <w:numFmt w:val="bullet"/>
      <w:lvlText w:val="·"/>
      <w:lvlJc w:val="left"/>
      <w:pPr>
        <w:tabs>
          <w:tab w:val="num" w:pos="0"/>
        </w:tabs>
        <w:ind w:hanging="15"/>
      </w:pPr>
      <w:rPr>
        <w:rFonts w:ascii="Symbol" w:hAnsi="Symbol" w:cs="Symbol"/>
        <w:sz w:val="22"/>
        <w:szCs w:val="22"/>
      </w:rPr>
    </w:lvl>
    <w:lvl w:ilvl="1">
      <w:numFmt w:val="bullet"/>
      <w:lvlText w:val="o"/>
      <w:lvlJc w:val="left"/>
      <w:pPr>
        <w:tabs>
          <w:tab w:val="num" w:pos="1530"/>
        </w:tabs>
        <w:ind w:left="1530" w:hanging="360"/>
      </w:pPr>
      <w:rPr>
        <w:rFonts w:ascii="Courier New" w:hAnsi="Courier New" w:cs="Courier New"/>
        <w:sz w:val="24"/>
        <w:szCs w:val="24"/>
      </w:rPr>
    </w:lvl>
    <w:lvl w:ilvl="2">
      <w:numFmt w:val="bullet"/>
      <w:lvlText w:val="§"/>
      <w:lvlJc w:val="left"/>
      <w:pPr>
        <w:tabs>
          <w:tab w:val="num" w:pos="2250"/>
        </w:tabs>
        <w:ind w:left="2250" w:hanging="360"/>
      </w:pPr>
      <w:rPr>
        <w:rFonts w:ascii="Wingdings" w:hAnsi="Wingdings" w:cs="Wingdings"/>
        <w:sz w:val="24"/>
        <w:szCs w:val="24"/>
      </w:rPr>
    </w:lvl>
    <w:lvl w:ilvl="3">
      <w:numFmt w:val="bullet"/>
      <w:lvlText w:val="·"/>
      <w:lvlJc w:val="left"/>
      <w:pPr>
        <w:tabs>
          <w:tab w:val="num" w:pos="2970"/>
        </w:tabs>
        <w:ind w:left="2970" w:hanging="360"/>
      </w:pPr>
      <w:rPr>
        <w:rFonts w:ascii="Symbol" w:hAnsi="Symbol" w:cs="Symbol"/>
        <w:sz w:val="24"/>
        <w:szCs w:val="24"/>
      </w:rPr>
    </w:lvl>
    <w:lvl w:ilvl="4">
      <w:numFmt w:val="bullet"/>
      <w:lvlText w:val="o"/>
      <w:lvlJc w:val="left"/>
      <w:pPr>
        <w:tabs>
          <w:tab w:val="num" w:pos="3690"/>
        </w:tabs>
        <w:ind w:left="3690" w:hanging="360"/>
      </w:pPr>
      <w:rPr>
        <w:rFonts w:ascii="Courier New" w:hAnsi="Courier New" w:cs="Courier New"/>
        <w:sz w:val="24"/>
        <w:szCs w:val="24"/>
      </w:rPr>
    </w:lvl>
    <w:lvl w:ilvl="5">
      <w:numFmt w:val="bullet"/>
      <w:lvlText w:val="§"/>
      <w:lvlJc w:val="left"/>
      <w:pPr>
        <w:tabs>
          <w:tab w:val="num" w:pos="4410"/>
        </w:tabs>
        <w:ind w:left="4410" w:hanging="360"/>
      </w:pPr>
      <w:rPr>
        <w:rFonts w:ascii="Wingdings" w:hAnsi="Wingdings" w:cs="Wingdings"/>
        <w:sz w:val="24"/>
        <w:szCs w:val="24"/>
      </w:rPr>
    </w:lvl>
    <w:lvl w:ilvl="6">
      <w:numFmt w:val="bullet"/>
      <w:lvlText w:val="·"/>
      <w:lvlJc w:val="left"/>
      <w:pPr>
        <w:tabs>
          <w:tab w:val="num" w:pos="5130"/>
        </w:tabs>
        <w:ind w:left="5130" w:hanging="360"/>
      </w:pPr>
      <w:rPr>
        <w:rFonts w:ascii="Symbol" w:hAnsi="Symbol" w:cs="Symbol"/>
        <w:sz w:val="24"/>
        <w:szCs w:val="24"/>
      </w:rPr>
    </w:lvl>
    <w:lvl w:ilvl="7">
      <w:numFmt w:val="bullet"/>
      <w:lvlText w:val="o"/>
      <w:lvlJc w:val="left"/>
      <w:pPr>
        <w:tabs>
          <w:tab w:val="num" w:pos="5850"/>
        </w:tabs>
        <w:ind w:left="5850" w:hanging="360"/>
      </w:pPr>
      <w:rPr>
        <w:rFonts w:ascii="Courier New" w:hAnsi="Courier New" w:cs="Courier New"/>
        <w:sz w:val="24"/>
        <w:szCs w:val="24"/>
      </w:rPr>
    </w:lvl>
    <w:lvl w:ilvl="8">
      <w:numFmt w:val="bullet"/>
      <w:lvlText w:val="§"/>
      <w:lvlJc w:val="left"/>
      <w:pPr>
        <w:tabs>
          <w:tab w:val="num" w:pos="6570"/>
        </w:tabs>
        <w:ind w:left="6570" w:hanging="360"/>
      </w:pPr>
      <w:rPr>
        <w:rFonts w:ascii="Wingdings" w:hAnsi="Wingdings" w:cs="Wingdings"/>
        <w:sz w:val="24"/>
        <w:szCs w:val="24"/>
      </w:rPr>
    </w:lvl>
  </w:abstractNum>
  <w:abstractNum w:abstractNumId="24">
    <w:nsid w:val="55F26657"/>
    <w:multiLevelType w:val="multilevel"/>
    <w:tmpl w:val="55F26657"/>
    <w:lvl w:ilvl="0">
      <w:start w:val="1"/>
      <w:numFmt w:val="decimal"/>
      <w:lvlText w:val="%1."/>
      <w:lvlJc w:val="left"/>
      <w:pPr>
        <w:ind w:left="450" w:hanging="360"/>
      </w:pPr>
      <w:rPr>
        <w:rFonts w:hint="default"/>
      </w:rPr>
    </w:lvl>
    <w:lvl w:ilvl="1">
      <w:start w:val="7"/>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33122A5"/>
    <w:multiLevelType w:val="multilevel"/>
    <w:tmpl w:val="633122A5"/>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rebuchet MS" w:eastAsia="Times New Roman" w:hAnsi="Trebuchet M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651F2954"/>
    <w:multiLevelType w:val="multilevel"/>
    <w:tmpl w:val="651F29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6A7E44C8"/>
    <w:multiLevelType w:val="multilevel"/>
    <w:tmpl w:val="6A7E44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6C8D2926"/>
    <w:multiLevelType w:val="hybridMultilevel"/>
    <w:tmpl w:val="A02EA2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7055F00D"/>
    <w:multiLevelType w:val="multilevel"/>
    <w:tmpl w:val="4CAC6B35"/>
    <w:lvl w:ilvl="0">
      <w:numFmt w:val="bullet"/>
      <w:lvlText w:val="·"/>
      <w:lvlJc w:val="left"/>
      <w:pPr>
        <w:tabs>
          <w:tab w:val="num" w:pos="360"/>
        </w:tabs>
        <w:ind w:left="360" w:hanging="360"/>
      </w:pPr>
      <w:rPr>
        <w:rFonts w:ascii="Symbol" w:hAnsi="Symbol" w:cs="Symbol"/>
        <w:sz w:val="22"/>
        <w:szCs w:val="22"/>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30">
    <w:nsid w:val="7B6F75D6"/>
    <w:multiLevelType w:val="multilevel"/>
    <w:tmpl w:val="33A80756"/>
    <w:lvl w:ilvl="0">
      <w:start w:val="1"/>
      <w:numFmt w:val="decimal"/>
      <w:lvlText w:val="%1."/>
      <w:lvlJc w:val="left"/>
      <w:pPr>
        <w:tabs>
          <w:tab w:val="num" w:pos="450"/>
        </w:tabs>
        <w:ind w:left="450" w:hanging="360"/>
      </w:pPr>
      <w:rPr>
        <w:rFonts w:ascii="Trebuchet MS" w:hAnsi="Trebuchet MS" w:cs="Times New Roman" w:hint="default"/>
        <w:b/>
        <w:bCs/>
        <w:sz w:val="22"/>
        <w:szCs w:val="22"/>
      </w:rPr>
    </w:lvl>
    <w:lvl w:ilvl="1">
      <w:start w:val="7"/>
      <w:numFmt w:val="decimal"/>
      <w:lvlText w:val="%1.%2."/>
      <w:lvlJc w:val="left"/>
      <w:pPr>
        <w:tabs>
          <w:tab w:val="num" w:pos="345"/>
        </w:tabs>
        <w:ind w:left="345" w:hanging="360"/>
      </w:pPr>
      <w:rPr>
        <w:rFonts w:ascii="Times New Roman" w:hAnsi="Times New Roman" w:cs="Times New Roman"/>
        <w:sz w:val="22"/>
        <w:szCs w:val="22"/>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720"/>
        </w:tabs>
        <w:ind w:left="720" w:hanging="72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080"/>
        </w:tabs>
        <w:ind w:left="1080" w:hanging="108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440"/>
        </w:tabs>
        <w:ind w:left="1440" w:hanging="1440"/>
      </w:pPr>
      <w:rPr>
        <w:rFonts w:ascii="Times New Roman" w:hAnsi="Times New Roman" w:cs="Times New Roman"/>
        <w:sz w:val="24"/>
        <w:szCs w:val="24"/>
      </w:rPr>
    </w:lvl>
  </w:abstractNum>
  <w:abstractNum w:abstractNumId="31">
    <w:nsid w:val="7D1C5BF7"/>
    <w:multiLevelType w:val="multilevel"/>
    <w:tmpl w:val="7D1C5BF7"/>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2"/>
  </w:num>
  <w:num w:numId="3">
    <w:abstractNumId w:val="12"/>
  </w:num>
  <w:num w:numId="4">
    <w:abstractNumId w:val="27"/>
  </w:num>
  <w:num w:numId="5">
    <w:abstractNumId w:val="1"/>
  </w:num>
  <w:num w:numId="6">
    <w:abstractNumId w:val="25"/>
  </w:num>
  <w:num w:numId="7">
    <w:abstractNumId w:val="26"/>
  </w:num>
  <w:num w:numId="8">
    <w:abstractNumId w:val="31"/>
  </w:num>
  <w:num w:numId="9">
    <w:abstractNumId w:val="9"/>
  </w:num>
  <w:num w:numId="10">
    <w:abstractNumId w:val="20"/>
  </w:num>
  <w:num w:numId="11">
    <w:abstractNumId w:val="13"/>
  </w:num>
  <w:num w:numId="12">
    <w:abstractNumId w:val="28"/>
  </w:num>
  <w:num w:numId="13">
    <w:abstractNumId w:val="21"/>
  </w:num>
  <w:num w:numId="14">
    <w:abstractNumId w:val="16"/>
  </w:num>
  <w:num w:numId="15">
    <w:abstractNumId w:val="17"/>
  </w:num>
  <w:num w:numId="16">
    <w:abstractNumId w:val="3"/>
  </w:num>
  <w:num w:numId="17">
    <w:abstractNumId w:val="18"/>
  </w:num>
  <w:num w:numId="18">
    <w:abstractNumId w:val="4"/>
  </w:num>
  <w:num w:numId="19">
    <w:abstractNumId w:val="0"/>
  </w:num>
  <w:num w:numId="20">
    <w:abstractNumId w:val="14"/>
  </w:num>
  <w:num w:numId="21">
    <w:abstractNumId w:val="15"/>
  </w:num>
  <w:num w:numId="22">
    <w:abstractNumId w:val="8"/>
  </w:num>
  <w:num w:numId="23">
    <w:abstractNumId w:val="19"/>
  </w:num>
  <w:num w:numId="24">
    <w:abstractNumId w:val="11"/>
  </w:num>
  <w:num w:numId="25">
    <w:abstractNumId w:val="23"/>
  </w:num>
  <w:num w:numId="26">
    <w:abstractNumId w:val="5"/>
  </w:num>
  <w:num w:numId="27">
    <w:abstractNumId w:val="6"/>
  </w:num>
  <w:num w:numId="28">
    <w:abstractNumId w:val="30"/>
  </w:num>
  <w:num w:numId="29">
    <w:abstractNumId w:val="29"/>
  </w:num>
  <w:num w:numId="30">
    <w:abstractNumId w:val="10"/>
  </w:num>
  <w:num w:numId="31">
    <w:abstractNumId w:val="2"/>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56949"/>
    <w:rsid w:val="00000996"/>
    <w:rsid w:val="00066DA2"/>
    <w:rsid w:val="00083A3B"/>
    <w:rsid w:val="000844E8"/>
    <w:rsid w:val="00087CF8"/>
    <w:rsid w:val="00091233"/>
    <w:rsid w:val="00094C51"/>
    <w:rsid w:val="00097A7C"/>
    <w:rsid w:val="000A0C28"/>
    <w:rsid w:val="000A52D9"/>
    <w:rsid w:val="000B0D24"/>
    <w:rsid w:val="000F1EBA"/>
    <w:rsid w:val="000F3B51"/>
    <w:rsid w:val="001058B1"/>
    <w:rsid w:val="001219C1"/>
    <w:rsid w:val="0014004A"/>
    <w:rsid w:val="0015419A"/>
    <w:rsid w:val="00163F3F"/>
    <w:rsid w:val="00182B4C"/>
    <w:rsid w:val="00186906"/>
    <w:rsid w:val="001943A3"/>
    <w:rsid w:val="001B3E90"/>
    <w:rsid w:val="001C216C"/>
    <w:rsid w:val="001E3D64"/>
    <w:rsid w:val="00210C2D"/>
    <w:rsid w:val="00226783"/>
    <w:rsid w:val="00226FC9"/>
    <w:rsid w:val="00247F72"/>
    <w:rsid w:val="002548F8"/>
    <w:rsid w:val="002571D4"/>
    <w:rsid w:val="002A45D3"/>
    <w:rsid w:val="002B4765"/>
    <w:rsid w:val="002B7676"/>
    <w:rsid w:val="002D5E93"/>
    <w:rsid w:val="002E082E"/>
    <w:rsid w:val="002E375A"/>
    <w:rsid w:val="002F186D"/>
    <w:rsid w:val="00310345"/>
    <w:rsid w:val="00337BBC"/>
    <w:rsid w:val="003539BB"/>
    <w:rsid w:val="0035700D"/>
    <w:rsid w:val="003A2ECF"/>
    <w:rsid w:val="003B7C48"/>
    <w:rsid w:val="003D2E33"/>
    <w:rsid w:val="003E5881"/>
    <w:rsid w:val="003E5D5E"/>
    <w:rsid w:val="00404074"/>
    <w:rsid w:val="00417C88"/>
    <w:rsid w:val="00437692"/>
    <w:rsid w:val="0044278B"/>
    <w:rsid w:val="0047096F"/>
    <w:rsid w:val="0049136A"/>
    <w:rsid w:val="00491F48"/>
    <w:rsid w:val="004930DB"/>
    <w:rsid w:val="004C014F"/>
    <w:rsid w:val="004E1F98"/>
    <w:rsid w:val="00503CD6"/>
    <w:rsid w:val="00544B4F"/>
    <w:rsid w:val="00546366"/>
    <w:rsid w:val="00546A40"/>
    <w:rsid w:val="00550169"/>
    <w:rsid w:val="0056788E"/>
    <w:rsid w:val="00573F06"/>
    <w:rsid w:val="00593351"/>
    <w:rsid w:val="005A6607"/>
    <w:rsid w:val="005A740C"/>
    <w:rsid w:val="005C31E5"/>
    <w:rsid w:val="005E7A7C"/>
    <w:rsid w:val="006030C2"/>
    <w:rsid w:val="00614B14"/>
    <w:rsid w:val="00630296"/>
    <w:rsid w:val="00632AB3"/>
    <w:rsid w:val="00632CA0"/>
    <w:rsid w:val="006350A1"/>
    <w:rsid w:val="00644A91"/>
    <w:rsid w:val="00645F31"/>
    <w:rsid w:val="00683ED7"/>
    <w:rsid w:val="006A2218"/>
    <w:rsid w:val="006B6848"/>
    <w:rsid w:val="006C65AB"/>
    <w:rsid w:val="006C6729"/>
    <w:rsid w:val="006E366C"/>
    <w:rsid w:val="006E575A"/>
    <w:rsid w:val="006F431C"/>
    <w:rsid w:val="00706C65"/>
    <w:rsid w:val="00723B46"/>
    <w:rsid w:val="007423E9"/>
    <w:rsid w:val="0077704A"/>
    <w:rsid w:val="007D4846"/>
    <w:rsid w:val="007F1642"/>
    <w:rsid w:val="008054BC"/>
    <w:rsid w:val="008234C4"/>
    <w:rsid w:val="00826D04"/>
    <w:rsid w:val="00842A03"/>
    <w:rsid w:val="00851269"/>
    <w:rsid w:val="00856771"/>
    <w:rsid w:val="0087599F"/>
    <w:rsid w:val="008829D9"/>
    <w:rsid w:val="008C49F2"/>
    <w:rsid w:val="008D3350"/>
    <w:rsid w:val="008D5824"/>
    <w:rsid w:val="0091352A"/>
    <w:rsid w:val="00920FFA"/>
    <w:rsid w:val="009274E1"/>
    <w:rsid w:val="00956949"/>
    <w:rsid w:val="00956E0C"/>
    <w:rsid w:val="00973FCD"/>
    <w:rsid w:val="00981EA5"/>
    <w:rsid w:val="00984368"/>
    <w:rsid w:val="00986F5C"/>
    <w:rsid w:val="009A0779"/>
    <w:rsid w:val="009B049E"/>
    <w:rsid w:val="009B2EE8"/>
    <w:rsid w:val="009C09DE"/>
    <w:rsid w:val="009C78AD"/>
    <w:rsid w:val="009D0F4A"/>
    <w:rsid w:val="00A07707"/>
    <w:rsid w:val="00A079D9"/>
    <w:rsid w:val="00A10554"/>
    <w:rsid w:val="00A46CBA"/>
    <w:rsid w:val="00A54D10"/>
    <w:rsid w:val="00A7604A"/>
    <w:rsid w:val="00A84250"/>
    <w:rsid w:val="00A93A85"/>
    <w:rsid w:val="00A93DAC"/>
    <w:rsid w:val="00A962F9"/>
    <w:rsid w:val="00A96826"/>
    <w:rsid w:val="00A968F2"/>
    <w:rsid w:val="00AA4129"/>
    <w:rsid w:val="00AA7C24"/>
    <w:rsid w:val="00AB4FF8"/>
    <w:rsid w:val="00AC1413"/>
    <w:rsid w:val="00AD7FA2"/>
    <w:rsid w:val="00AE57FA"/>
    <w:rsid w:val="00AF2030"/>
    <w:rsid w:val="00B042A8"/>
    <w:rsid w:val="00B34672"/>
    <w:rsid w:val="00B40F7A"/>
    <w:rsid w:val="00B441C2"/>
    <w:rsid w:val="00B72351"/>
    <w:rsid w:val="00B90D44"/>
    <w:rsid w:val="00BA017E"/>
    <w:rsid w:val="00BA6B4C"/>
    <w:rsid w:val="00BE514A"/>
    <w:rsid w:val="00BE5F5A"/>
    <w:rsid w:val="00C01B84"/>
    <w:rsid w:val="00C03218"/>
    <w:rsid w:val="00C03D03"/>
    <w:rsid w:val="00C34464"/>
    <w:rsid w:val="00C41B87"/>
    <w:rsid w:val="00C57B1C"/>
    <w:rsid w:val="00C7384B"/>
    <w:rsid w:val="00CA1088"/>
    <w:rsid w:val="00CA389E"/>
    <w:rsid w:val="00CD2708"/>
    <w:rsid w:val="00CE0F53"/>
    <w:rsid w:val="00D153A9"/>
    <w:rsid w:val="00D235C1"/>
    <w:rsid w:val="00D66453"/>
    <w:rsid w:val="00D835F6"/>
    <w:rsid w:val="00D96303"/>
    <w:rsid w:val="00DB72D6"/>
    <w:rsid w:val="00E12B40"/>
    <w:rsid w:val="00E36FAA"/>
    <w:rsid w:val="00E4078C"/>
    <w:rsid w:val="00E43EA6"/>
    <w:rsid w:val="00E44C49"/>
    <w:rsid w:val="00E537EE"/>
    <w:rsid w:val="00E67401"/>
    <w:rsid w:val="00E80637"/>
    <w:rsid w:val="00EE2AE8"/>
    <w:rsid w:val="00EE5E42"/>
    <w:rsid w:val="00F0417C"/>
    <w:rsid w:val="00F0658E"/>
    <w:rsid w:val="00F22AAF"/>
    <w:rsid w:val="00F24EB5"/>
    <w:rsid w:val="00F32EFE"/>
    <w:rsid w:val="00F5241F"/>
    <w:rsid w:val="00F55DFB"/>
    <w:rsid w:val="00F817A2"/>
    <w:rsid w:val="00F81CB8"/>
    <w:rsid w:val="00F8214B"/>
    <w:rsid w:val="00FA458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2351"/>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B72351"/>
    <w:pPr>
      <w:autoSpaceDE w:val="0"/>
      <w:autoSpaceDN w:val="0"/>
      <w:adjustRightInd w:val="0"/>
      <w:spacing w:after="0" w:line="240" w:lineRule="auto"/>
    </w:pPr>
    <w:rPr>
      <w:rFonts w:ascii="Trebuchet MS" w:eastAsia="Calibri" w:hAnsi="Trebuchet MS" w:cs="Trebuchet MS"/>
      <w:color w:val="000000"/>
      <w:sz w:val="24"/>
      <w:szCs w:val="24"/>
    </w:rPr>
  </w:style>
  <w:style w:type="paragraph" w:styleId="BalloonText">
    <w:name w:val="Balloon Text"/>
    <w:basedOn w:val="Normal"/>
    <w:link w:val="BalloonTextChar"/>
    <w:uiPriority w:val="99"/>
    <w:semiHidden/>
    <w:unhideWhenUsed/>
    <w:rsid w:val="00A54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D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5967226">
      <w:bodyDiv w:val="1"/>
      <w:marLeft w:val="0"/>
      <w:marRight w:val="0"/>
      <w:marTop w:val="0"/>
      <w:marBottom w:val="0"/>
      <w:divBdr>
        <w:top w:val="none" w:sz="0" w:space="0" w:color="auto"/>
        <w:left w:val="none" w:sz="0" w:space="0" w:color="auto"/>
        <w:bottom w:val="none" w:sz="0" w:space="0" w:color="auto"/>
        <w:right w:val="none" w:sz="0" w:space="0" w:color="auto"/>
      </w:divBdr>
    </w:div>
    <w:div w:id="1329407624">
      <w:bodyDiv w:val="1"/>
      <w:marLeft w:val="0"/>
      <w:marRight w:val="0"/>
      <w:marTop w:val="0"/>
      <w:marBottom w:val="0"/>
      <w:divBdr>
        <w:top w:val="none" w:sz="0" w:space="0" w:color="auto"/>
        <w:left w:val="none" w:sz="0" w:space="0" w:color="auto"/>
        <w:bottom w:val="none" w:sz="0" w:space="0" w:color="auto"/>
        <w:right w:val="none" w:sz="0" w:space="0" w:color="auto"/>
      </w:divBdr>
    </w:div>
    <w:div w:id="205469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A9DDC-F9DD-4394-885E-9C699650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2286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Cosac Silvia;NECULA SILVIU RAZVAN</dc:creator>
  <cp:keywords/>
  <dc:description/>
  <cp:lastModifiedBy>Orientator 23</cp:lastModifiedBy>
  <cp:revision>9</cp:revision>
  <cp:lastPrinted>2019-05-16T14:39:00Z</cp:lastPrinted>
  <dcterms:created xsi:type="dcterms:W3CDTF">2019-02-14T14:19:00Z</dcterms:created>
  <dcterms:modified xsi:type="dcterms:W3CDTF">2019-06-11T09:25:00Z</dcterms:modified>
</cp:coreProperties>
</file>